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jc w:val="right"/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Приложение N _____</w:t>
      </w:r>
    </w:p>
    <w:p w:rsidR="00730787" w:rsidRPr="00730787" w:rsidRDefault="00730787" w:rsidP="00730787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30787">
        <w:rPr>
          <w:rFonts w:ascii="Times New Roman" w:hAnsi="Times New Roman" w:cs="Times New Roman"/>
          <w:sz w:val="20"/>
          <w:szCs w:val="20"/>
        </w:rPr>
        <w:t>к Приказу (вариант: Распоряжению)</w:t>
      </w:r>
    </w:p>
    <w:p w:rsidR="00730787" w:rsidRPr="00730787" w:rsidRDefault="00730787" w:rsidP="00730787">
      <w:pPr>
        <w:jc w:val="right"/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от "___"_________ 20__ г. N _____</w:t>
      </w:r>
    </w:p>
    <w:p w:rsidR="00730787" w:rsidRPr="00730787" w:rsidRDefault="00730787" w:rsidP="00730787">
      <w:pPr>
        <w:jc w:val="right"/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"_______________________________"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Учетная политика</w:t>
      </w: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для целей бухгалтерского учета и налогообложения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I. Организационные положения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1.1. Под учетной политикой "__________________" (наименование организации) (далее - Организация) понимается принятая ею совокупность способов ведения бухгалтерского и налогового учета (далее - Учетная политика).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1.2. Бухгалтерский и налоговый учет в Организации ведется в автоматизированном виде с применением программного комплекса __________________ (наименование).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1.3. Ведение бухгалтерского, а также налогового учета и формирование бухгалтерской (финансовой) и налоговой отчетности Организации возложено на _____________________ (вариант: главного бухгалтера / _______________________ (иное должностное лицо Организации)).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1.3. Ведение бухгалтерского, а также налогового учета и формирование бухгалтерской (финансовой) и налоговой отчетности Организации возложено на стороннюю специализированную организацию по договору об оказании соответствующих услуг в соответствии с действующим законодательством.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1.4. Первичные учетные документы оформляются _____________________ (вариант: на бумажных носителях и в электронном виде/ в электронном виде / ________________ (иной вариант)). Если законодательством и (или) договором предусмотрено представление первичного документа в бумажном виде, созданного в электронном формате, то изготавливается копия такого документа на бумажном носителе.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Единые учетные документы на связанные, повторяющиеся, длящиеся операции и события в Организации не составляются.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В учете Организации допустимо оформление единого первичного документа для отражения: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нескольких связанных фактов хозяйственной жизни;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длящихся фактов хозяйственной жизни;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повторяющихся фактов хозяйственной жизни.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Периодичность составления единых первичных документов: _________________________________________________ (вариант: еженедельно, но не позднее последнего дня месяца / подекадно / ежемесячно по состоянию на последнее число / поквартально по состоянию на последнее число квартала / иная периодичность, в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>. разная по видам учетных документов).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Регистры бухгалтерского учета ведутся ________________ (вариант: в электронном виде по формам, предусмотренным специализированной бухгалтерской программой ______________ (наименование) / в электронном виде и на бумажных носителях строго по регламентированным формам/ _______________ (иной вариант)). Регистры бухгалтерского учета являются одновременно регистрами налогового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Налоговый учет в Организации ведется в специально разработанной системе налоговых регистров.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Формы первичных учетных документов и регистров, применяемые при ведении бухгалтерского и налогового учета в Организации, установлены в Приложении N ___ к Методологии бухгалтерского учета (вариант: и Приложении N ___ к Методологии налогового учета).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Учетные регистры, сформированные с применением специализированной программы, распечатываются __________________ (вариант: один раз по окончании каждого отчетного квартала / один раз по окончании года / ____________ (иная периодичность)).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1.5. Технология сбора и обработки информации в бухгалтерском и налоговом учете Организации осуществляется в соответствии с (вариант: Положением о документообороте / графиком документооборота (Приложение N ___ к Методологии бухгалтерского учета) / __________________ (наименование иного документа)), утверждаемым руководителем Организации.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lastRenderedPageBreak/>
        <w:t>Порядок хранения и доступа к первичным учетным документам и регистрам бухгалтерского и налогового учета, а также виды используемых электронных подписей, порядок передачи права подписи, в том числе электронной, учет распорядительных документов и доверенностей на право подписи и способ обмена электронными документами определены (вариант: также) в Положении о документообороте, утвержденном в Приложении N ___ к Методологии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1.6. В Организации осуществляется внутренний контроль совершаемых фактов хозяйственной жизни в порядке, предусмотренном в Положении о внутреннем контроле, утвержденном в Приложении N ___ к Методологии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1.7. Организация применяет ФСБУ 28/2023 "Инвентаризация", утвержденный Приказом Минфина России от 13.01.2023 N 4н с начала отчетного года, с которого утверждена Учетная политика.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Порядок, сроки и случаи проведения инвентаризации активов и обязательств, а также перечень объектов, подлежащих инвентаризации, определены в Положении об инвентаризации, утвержденном в Приложении N ___ к Методологии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II. Методология бухгалтерского учета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 Общие правила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Бухгалтерская (финансовая) отчетность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2.1.1. Бухгалтерский учет осуществляется посредством метода двойной записи.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Рабочий План счетов бухгалтерского учета финансово-хозяйственной деятельности Организации разработан на основе Приказа Минфина России от 31.10.2000 N 94н "Об утверждении Плана счетов бухгалтерского учета финансово-хозяйственной деятельности организаций и Инструкции по его применению" и утвержден в Приложение N ___ к Методологии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2.1.2. Для раскрытия информации в бухгалтерской (финансовой) отчетности существенной признается информация, которая превышает 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целях исправления ошибок в бухгалтерском учете существенной признается информация, которая превышает 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Для целей учета основных средств существенной признается информация, которая превышает _______% от показателя строки баланса "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Внеоборотные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активы".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2.1.3. На основании требования рациональности бухгалтерского учета скидки, премии, бонусы и иные преференции от поставщика считаются несущественными, если они не превышают _______% от стоимости имущества, работ, услуг или имущественных прав. Такие преференции отражаются в бухучете в составе прочих доходов в периоде подписания документов о предоставлении скидки с поставщиком.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2.1.4. На основании принципа рациональности плата за отсрочку или рассрочку не выделяется из договорной стоимости товаров, работ, услуг или имущественных прав (кроме запасов и капитальных вложений), если она предоставлена на период менее _______ месяцев.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2.1.5.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Забалансовый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учет имущества третьих лиц в учете Организации ведется в оценке, определяемой по правилам, рекомендованным Инструкцией по применению Плана счетов бухгалтерского учета финансово-хозяйственной деятельности организаций (утв. приказом Минфина от 31.10.2000 N 94н). Если правила оценки для отдельной ситуации не установлены, учет осуществляется в оценке, указанной в документах на передачу этого имущества.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2.1.5. _________________________________________________________________________ (иной вариант учета)).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2.1.6. Промежуточная бухгалтерская отчетность формируется _________________________________ (вариант: по итогам полугодия / по итогам 1 квартала, полугодия и девяти месяцев / по итогам первого, второго, третьего месяцев и т.д. до одиннадцатого месяца).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2.1.7. Оценка имущества, обязательств и хозяйственных операций в Организации осуществляется ___________________________ (вариант: в рублях и копейках / в рублях, с отнесением возникающих суммовых разниц на финансовые результаты).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2.1.8. Критерий определения уровня существенности для отражения показателей в бухгалтерской отчетности устанавливается в размере _____% от величины объекта учета или статьи бухгалтерской отчетности.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2.1.8. Существенной признается ошибка, в результате исправления которой показатель по статье бухгалтерской отчетности изменится более чем на _____%. Существенными для раскрытия в бухгалтерской отчетности являются показатели, отношение которых к валюте баланса за отчетный период составляет не менее ______%.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2.1.9. ________________________________________________________________________ (иной вариант существенности).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2.1.10. С отчетности за 2025 год Организация применяет формы годовой и промежуточной бухгалтерской отчетности, разработанные в соответствии с требованиями ФСБУ 4/2023 "Бухгалтерская (финансовая) отчетность", утв. приказом Минфина России от 04.10.2023 N 157н, в составе бухгалтерского баланса, отчета о финансовых результатах и приложений к ним (отчета об изменениях капитала, отчета о движении денежных средств, пояснений к бухгалтерскому балансу и отчету о финансовых результатах), установленных в Приложениях N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_____ - ______ к Методологии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2.2. Учет доходов и расходов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2.2.1. В составе доходов по обычным видам деятельности признаются: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2.2.2. В составе расходов по обычным видам деятельности признаются расходы, связанные с получением доходов по основным видам деятельности, перечень которых установлен в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>. 1 п. 2.1.1 Учетной политики.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Выручки от выполнения работ, оказания услуг и (или) продажи продукции с длительным циклом изготовления (более 12 месяцев) признаются в учете Организации ______________________________________ (вариант: если можно определить степень готовности - постепенно по мере выполнения работ, услуг, производства изделий / по окончании работ, услуг, производства изделий в целом).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2.2.3. Коммерческие расходы Организации учитываются на счете 44 "Расходы на продажу" в следующем составе: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_________________________________,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_________________________________,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составе общехозяйственных расходов на счете 26 учитываются: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2.2.4. Коммерческие и общехозяйственные расходы ____________________________ (вариант: полностью списываются в дебет счета 90 "Продажи" в конце каждого отчетного периода / распределяются между реализованной продукцией и остатками незавершенного производства)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2.2.5. В Организации ведется раздельный учет доходов и расходов по следующим видам деятельности: ________________________.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Методика раздельного учета доходов и расходов определена в Приложении N ___ Методологии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 Учет основных средств и капитальных вложений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2.3.1. Активы стоимостью, превышающей ______________ руб., в отношении которых выполняются одновременно условия, предусмотренные п. 4 Федерального стандарта бухгалтерского учета 6/2020 "Основные средства", утвержденного Приказом Минфина России от 17.09.2020 N 204н (далее - ФСБУ 6/2020 "Основные средства"), принимаются к бухгалтерскому учету в качестве основных (далее - ОС).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2.3.2. Контроль и наличие малоценных активов Организации (стоимость актива не превышает установленного в п. 2.3.1 лимита), срок полезного использования которых превышает 12 месяцев, отслеживается по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забалансовому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счету (вариант: по специальному регистру бухгалтерского учета) по стоимости, учтенной в затратах (вариант: в условной оценке ____ руб.) (п. 5 ФСБУ 6/2020 "Основные средства").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учете Организации такие малоценные активы Организации __________________________________________ (вариант: сразу списываются на счет 90 "Продажи" / предварительно учитываются на счетах учета затрат и в конце месяца списывать на счет 90 "Продажи").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2.3.3. Все ОС в учете Организации распределяются по следующим группам и видам: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недвижимость, которая используется в производственной деятельности;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инвестиционная недвижимость;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машины и оборудование;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транспортные средства;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производственный и хозяйственный инвентарь.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2.3.3. ____________________________________________ (иная классификация).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2.3.4. В качестве инвентарного объекта учитывается объект ОС со всеми его приспособлениями и принадлежностями. При наличии у одного объекта нескольких частей, стоимость и сроки полезного использования которых существенно отличаются от стоимости и срока полезного использования объекта в целом, каждая такая часть признается </w:t>
      </w:r>
      <w:r w:rsidRPr="00730787">
        <w:rPr>
          <w:rFonts w:ascii="Times New Roman" w:hAnsi="Times New Roman" w:cs="Times New Roman"/>
          <w:sz w:val="20"/>
          <w:szCs w:val="20"/>
        </w:rPr>
        <w:lastRenderedPageBreak/>
        <w:t>самостоятельным инвентарным объектом. Стоимость и срок полезного использования части считаются существенно отличающимися, если разница составляет более _____% соответственно от стоимости и срока полезного использования объекта в целом (п. 10 ФСБУ 6/2020 "Основные средства").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Самостоятельными инвентарными объектами признаются также существенные по величине затраты Организации на проведение ремонта, технического осмотра, технического обслуживания объектов ОС с частотой более 12 месяцев или более обычного операционного цикла, превышающего 12 месяцев. Величина затрат признается существенной, если она превышает ____________ (вариант: % первоначальной стоимости основного средства / тыс. руб.).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2.3.5. Амортизации по объектам ОС в Организации начисляется ______________________ (вариант: линейным методом / способом уменьшаемого остатка / пропорционально количеству продукции или объему работ в натуральном выражении).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Начисление амортизации объекта ОС начинается с даты признания его в бухгалтерском учете и прекращается с даты его списания с учета. В месяце принятия объекта к учету амортизация начисляется ______________________ (вариант: в сумме пропорционально количеству дней его учета в составе основного средства в данном месяце / как за полный месяц / ________________ (иной порядок)).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Начисление амортизации объекта основных средств начинается с первого числа месяца, следующего за месяцем признания его в бухгалтерском учете, и прекращается с первого числа месяца, следующего за месяцем его списания с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2.3.6. После признания объекты ОС по группам (кроме инвестиционной недвижимости) оцениваются в бухгалтерском учете ____________________________________ (вариант: по первоначальной стоимости / по переоцененной стоимости с пересчетом первоначальной стоимости и накопленной амортизации таким образом, чтобы балансовая стоимость стала равной справедливой / по переоцененной стоимости: пересчитанная балансовая стоимость после вычета амортизации из первоначальной стоимости).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2.3.7. Расчет амортизации по ОС и ее учет в расходах осуществляется по окончании ____________________________ (вариант: месяца / квартала / иная периодичность).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2.3.8. Учет инвестиционной недвижимости ведется по _____________________________ (вариант: первоначальной стоимости / переоцененной стоимости).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2.3.9. Учет капитальных вложений.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Организация учитывает завершенные капитальные вложения в виде ремонта, техосмотра и техобслуживания с периодичностью свыше 12 месяцев как самостоятельные объекты ОС, если они удовлетворяют стоимостному критерию, установленному в п. 2.3.1 Учетной политики. В ином случае данные капитальные вложения увеличивают первоначальную стоимость объекта ОС, в отношении которых эти работы проводятся (п. п. 10, 24 ФСБУ 6/2020 "Основные средства").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Размер платы за отсрочку (рассрочку) по договорам Организация рассчитывает в установленном порядке в соответствии с п. 12 Федерального стандарта бухгалтерского учета ФСБУ 26/2020 "Капитальные вложения", утвержденного Приказом Минфина России от 17.09.2020 N 204н (далее - ФСБУ 26/2020 "Капитальные вложения") и на основании: положений договоров, если плата за отсрочку (рассрочку) выделена в виде процента, фиксированной суммы или договор устанавливает вариант оплаты без отсрочки (рассрочки) в меньшей сумме; данных поставщиков, подрядчиков о цене товаров, работ, услуг без учета отсрочки (рассрочки). Данные могут быть получены из прайс-листов, с сайтов или из переписки.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2.3.10. Фактические затраты, связанные с осуществлением капитальных вложений в несколько объектов ОС, объектов НМА при их создании собственными силами, распределяются между ними ____________________________ (вариант: пропорционально объему выполненных работ по каждому объекту / иной экономически обоснованный способ).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2.3.11. Организация учитывает запасы для капитальных вложений ____________________________________________ (вариант: на счете 08 "Вложения во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внеоборотные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активы" на отдельном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08-9 "Запасы для капитальных вложений" / на отдельном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счета 10 "Материалы":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10-8 "Запасы для капитальных вложений" / счете 10 "Материалы" на отдельных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субсчетах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: запасы для строительства учитываются на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10-8 "Строительные материалы"; запасы для прочих капвложений - на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10-13 "Запасы для капитальных вложений, не связанных со строительством").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2.3.12. Организация проводит проверку ОС (за исключением инвестиционной недвижимости ОС) и капвложений на обесценение в порядке, установленном Международным стандартом финансовой отчетности (IAS) 36 "Обесценение активов" (п. 38 ФСБУ 6/2020 "Основные средства", п. 17 ФСБУ "Капитальные вложения").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2.3.13. Накопленная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дооценка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списывается на нераспределенную прибыль Организации ________________________________________ (вариант: единовременно при списании объекта основных средств, по которому была накоплена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дооценка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/ по мере начисления амортизации по объекту основных средств).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2.4. Учет нематериальных активов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lastRenderedPageBreak/>
        <w:t>2.4.1. Актив, удовлетворяющий условиям п. 4 Федерального стандарта бухгалтерского учета ФСБУ 14/2022 "Нематериальные активы", утвержденного Приказом Минфина России от 30.05.2022 N 86н (далее - ФСБУ 14/2022), относится к объектам нематериальных активов (далее - НМА), если его стоимость больше ________________ тыс. руб.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В целях контроля наличия и движения результатов интеллектуальной деятельности и средствами индивидуализации, на которые у организации имеются исключительные права, но которые не соответствуют критериям п. 4 ФСБУ 14/2022 для признания в качестве НМА, их учет ведется ________________ (вариант: на отдельном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забалансовом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счете / в специальном регистре).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Первоначальная стоимость НМА, полученных безвозмездно, учитывается исходя из их текущей рыночной стоимости на дату принятия к бухгалтерскому учету в качестве вложений во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внеоборотные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активы.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Первоначальная стоимость НМА, приобретенных по договору, предусматривающему исполнение обязательств (оплату)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неденежными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средствами, определяется исходя из стоимости активов, переданных или подлежащих передаче. Стоимость активов, переданных или подлежащих передаче Организации, устанавливается исходя из цены, по которой в сравнимых обстоятельствах обычно Организация определяет стоимость аналогичных активов.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2.4.2. Начисление амортизации в учете Организации производится по группам НМА и в соответствии с п. п. 39 - 40 ФСБУ 14/2022, а именно: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________________________ (наименование группы НМА) - _____________________ (метод начисления амортизации);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________________________ (наименование группы НМА) - _____________________ (метод начисления амортизации);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________________________ (наименование группы НМА) - _____________________ (метод начисления амортизации).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Способ амортизации НМА проверяется Организацией ежегодно на необходимость его уточнения.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Срок полезного использования объекта НМА подлежит обязательному уточнению, если разница между определенным сроком эксплуатации (настоящим) и предполагаемым новым составляет не менее _______ (________) процентов от величины текущего срока.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2.4.3. Переоценка НМА не производится.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2.4.3. Организация осуществляет регулярную переоценку всех объектов НМА (вариант: следующих групп однородных объектов НМА: ___________________). Переоценка проводится ______________ (периодичность).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2.4.4. Обесценение НМА не производится.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2.4.4. НМА с неопределенным сроком полезного использования или капитальные вложения в НМА (объекты, которые не готовы к использованию) тестируются на обесценение независимо от наличия признаков такового. Тестирование проводится ежегодно путем сравнения его балансовой стоимости с возмещаемой суммой __________________ (вариант: в следующие сроки по группам (видам) НМА: ____________; _____________ / ежегодно по всем группам (видам) НМА в срок ________________).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2.5. Учет запасов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2.5.1. Учет приобретения запасов.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Организация не применяет Федеральный стандарт бухгалтерского учета ФСБУ 5/2019 "Запасы", утвержденный Приказом Минфина России от 15.11.2019 N 180н (далее - ФСБУ 5/2019 "Запасы"), в отношении запасов, предназначенных для управленческих нужд. Затраты, подлежащие включению в стоимость таких запасов согласно данному ФСБУ, учитываются в расходах периода, в котором они понесены.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Материалы, предназначенные для создания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внеоборотных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активов, к запасам не относятся. Они подлежат учету на счете 10 "Материалы" на отдельном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субсчете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>. К порядку их учета методы ФСБУ 5/2019 "Запасы" неприменимы.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Счета 15 "Заготовление и приобретение материальных ценностей" и 16 "Отклонение в стоимости материальных ценностей" не используются, учетные цены не применяются.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Организация принимает к бухгалтерскому учету приобретенные материалы по цене поставщика без учета скидок, вычетов, премий и льгот. При этом затраты на заготовку, доставку и т.д., подлежащие включению в стоимость материалов согласно ФСБУ 5/2019 "Запасы", включаются в состав расходов периода, в котором понесены.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Для обеспечения контроля сохранности инструментов, инвентаря, спецодежды,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спецоснастки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, тары и т.д. стоимость таких материалов после их передачи в производство (эксплуатацию) принимается на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забалансовый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учет.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Единицей бухгалтерского учета материалов является ____________________ (вариант: номенклатурный номер / партия / однородная группа / _____________ (иное)).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Транспортно-заготовительные расходы, понесенные в связи с приобретением материалов с разными наименованиями, распределяются пропорционально ____________ (вариант: стоимости приобретения / массе / объему / _________ (иной показатель)) этих материалов.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2.5.2. Учет списания материалов.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 1. При отпуске материалов в производство и ином выбытии их оценка производится Организацией по себестоимости каждой единицы.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lastRenderedPageBreak/>
        <w:t>Вариант 2. При отпуске материалов в производство и ином выбытии их оценка производится Организацией по средней себестоимости. Последняя определяется ________________ (вариант: исходя из средней за период фактической себестоимости методом взвешенной оценки / в момент отпуска материалов методом скользящей оценки).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 3. При отпуске материалов в производство и ином выбытии их оценка производится Организацией по себестоимости первых по времени приобретения материалов способом ФИФО.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2.6. Резервы и оценочные обязательства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2.6.1. Проверка дебиторской задолженности на предмет необходимости создания (корректировки) резерва по сомнительным долгам осуществляется на конец каждого отчетного периода.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Проверке подлежит дебиторская задолженность юридических и физических лиц, возникшая по любым основаниям.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2.6.2. Если имеется информация, с высокой степенью надежности подтверждающая отсутствие возможности исполнения обязательства должником, задолженность признается сомнительной независимо от наличия и периода просрочки и иных обстоятельств. Решение о создании резерва в таком случае утверждается руководителем Организации.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2.6.3. Величина резерва определяется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2.6.4. Организация также формирует следующие резервы: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Все резервы будущих доходов и расходов бухгалтерского учета формируются и используются в соответствии с Методикой формирования резервов и расчета оценочных обязательств в бухгалтерском учете Организации, определенной в Приложении N ___ к Методологии бухгалтерского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2.6.5. Определение оценочных обязательств по оплате отпусков работникам производится _____________ (вариант: на промежуточные отчетные даты и на конец отчетного года - по методу обязательства (точный расчет) / на промежуточные отчетные даты - по нормативному методу и на конец отчетного года - точным расчетом).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учете Организации признаются следующие оценочные обязательства: ____________________ (наименование).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2.7. Приложение к Методологии бухгалтерского учета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2.7.1. Рабочий план счетов бухгалтерского учета финансово-хозяйственной деятельности Организации (Приложение N ____).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2.7.2. Формы первичных учетных документов и документов внутренней бухгалтерской отчетности (Приложение N ____).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2.7.3. _____________________________ (и далее по списку в соответствии с выбранным вариантом учета).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III. Методология налогового учета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3.1. Налог на добавленную стоимость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3.1.1. Нумерация счетов-фактур Организации производится в хронологическом порядке с начала каждого _____________ (вариант: календарного года / квартала / месяца) по возрастанию номеров.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3.1.2. Для целей исчисления НДС в Организации ведется раздельный учет операций: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освобождаемых от налогообложения в соответствии со ст. 149 Налогового кодекса Российской Федерации, и операций, облагаемых НДС;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облагаемых НДС по ставке 0%;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облагаемых НДС по иным ставкам.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Методика ведения раздельного учета для целей исчисления НДС осуществляется с учетом требований Налогового кодекса Российской Федерации по каждому виду операций (Приложение N ___ к Методологии налогового учета).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3.1.3. Организация ______________ (вариант: применяет / не применяет) "правило 5%", предусмотренное п. 4 ст. 170 Налогового кодекса Российской Федерации.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3.1.4. Организация ведет раздельный учет сумм НДС по приобретенным товарам (работам, услугам), в том числе основным средствам и нематериальным активам, имущественным правам.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3.1.5. Раздельный учет по НДС обеспечивается _________________ (вариант: открытием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субсчетов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к соответствующим балансовым счетам (90, 91, 62 и др.) / обособлением в аналитическом учете соответствующих балансовых счетов (90, 91, 62 и др.) / _____________ (другой способ)).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3.1.6. Моментом определения налоговой базы по НДС при получении предоплаты по товарам, работам, услугам с длительностью производственного цикла свыше шести месяцев по Перечням товаров и работ, утвержденных Постановлением Правительства от 28.07.2006 N 468 является ___________________________ (вариант: день оплаты, </w:t>
      </w:r>
      <w:r w:rsidRPr="00730787">
        <w:rPr>
          <w:rFonts w:ascii="Times New Roman" w:hAnsi="Times New Roman" w:cs="Times New Roman"/>
          <w:sz w:val="20"/>
          <w:szCs w:val="20"/>
        </w:rPr>
        <w:lastRenderedPageBreak/>
        <w:t>частичной оплаты в счет предстоящих поставок товаров, работ, услуг / день отгрузки или передачи товаров, работ, услуг).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3.2. Налог на прибыль организаций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3.2.1. Порядок признания доходов и расходов в налоговом учете осуществляется методом начисления (вариант: кассовым методом).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3.2.2. В перечень прямых расходов Организации, связанных с реализацией товаров, работ, услуг, включаются: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затраты на приобретение товара, комплектующих и полуфабрикатов;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амортизационные отчисления по ОС, используемым при реализации товаров, работ, услуг;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_________________ (иные расходы).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3.2.3. Методика распределения доходов и расходов по конкретным договорам между отчетными (налоговыми) периодами в соответствии с п. 2 ст. 271 и ст. 316 Налогового кодекса Российской Федерации приведена в Приложении N _____ к Методологии налогового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случае когда расходы не могут быть непосредственно отнесены на затраты по конкретному виду деятельности, они распределяются пропорционально доле соответствующего дохода в суммарном объеме всех доходов Организации.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Доходы и расходы, относящиеся к нескольким отчетным и (или) налоговым периодам, распределяются ________________ (вариант: ежемесячно/ежеквартально) в соответствии с принятой в Организации Методикой (Приложение N ___ к Методологии налогового учета).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Распределение прямых расходов на незавершенное производство и на продукцию (работы, услуги) осуществляется в соответствии с Методикой распределения расходов на НЗП, установленной в Приложении N ___ к Методологии налогового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3.2.4. При определении размера материальных расходов при списании сырья и материалов, используемых при выполнении работ, оказании услуг, применяется метод ______________ (вариант: оценки по стоимости единицы запасов / оценки по средней стоимости / оценки по стоимости первых по времени приобретений (ФИФО)).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стоимость сырья и материалов, используемых в хозяйственной деятельности, включается цена их приобретения (без учета НДС и акцизов), комиссионные вознаграждения, уплачиваемые посредническим организациям, ввозные таможенные пошлины и сборы, расходы на транспортировку, суммы, уплачиваемые организациям за информационные и консультационные услуги, связанные с приобретением материалов.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В стоимость сырья и материалов, используемых в хозяйственной деятельности по оказанию услуг, включается цена их приобретения (без учета НДС и акцизов), комиссионные вознаграждения, уплачиваемые посредническим организациям, расходы на транспортировку.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Ввозные таможенные пошлины и сборы, а также суммы, уплачиваемые организациям за информационные и консультационные услуги, связанные с приобретением материалов, включаются в состав прочих расходов.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3.2.5. При реализации покупных товаров Организация уменьшает доходы от таких операций на оценочную стоимость приобретения данных товаров, определяемую следующим методом: ____________ (вариант: по стоимости первых по времени приобретения (ФИФО) / по средней стоимости / по стоимости единицы товара).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Стоимость приобретения товаров формируется ______________________________________________ (вариант: по цене, установленной условиями договора / с учетом расходов, связанных с приобретением товаров, а именно: цена приобретения (без учета НДС и акцизов); комиссионные вознаграждения, уплачиваемые посредническим организациям; ввозные таможенные пошлины и сборы; расходы на транспортировку; иные расходы).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3.2.6. Основные средства стоимостью менее ____ (________) рублей признаются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неамортизируемым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малоценным имуществом Организации списываются по мере ввода в эксплуатацию ____________________ (вариант: единовременно / равномерно в течении ______ отчетных периодов).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3.2.7. Срок полезного использования ОС _____________________________________________ (определяется по минимальному значению интервала сроков, установленных для амортизационной группы, в которую включено ОС; а, если ОС не указано в классификации - по технической документации или рекомендациям производителей / определяется комиссией в пределах сроков, установленных для амортизационной группы, в которую должно быть включено ОС, а после реконструкции, модернизации или технического перевооружения срок полезного использования объекта ОС пересматривается комиссией в пределах сроков для групп, определенных первоначально / определяется по максимальному значению интервала сроков, установленных для амортизационной группы, в которую включено ОС и после реконструкции, модернизации или технического перевооружения срок полезного использования объекта ОС не увеличивается).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3.2.8. Для целей налогообложения прибыли по объектам амортизируемого имущества Организация применяет линейный метод начисления амортизации.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lastRenderedPageBreak/>
        <w:t>Вариант. 3.2.8. По всем объектам амортизируемого имущества, за исключением зданий, сооружений, передаточных устройств и нематериальных активов, входящих в 8 - 10-ю амортизационные группы, Организация применяет нелинейный метод начисления амортизации.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3.2.9. Амортизационная премия не применяется.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3.2.9. Организация применяет амортизационную премию в отношении первоначальной стоимости приобретенных объектов ОС при вводе их в эксплуатацию: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в размере ________ (не более 10%) первоначальной стоимости объектов, включаемых в 1-ю и 2-ю, а также 8 - 10-ю амортизационные группы;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в размере _________ (не более 30%) первоначальной стоимости объектов, включаемых в 3 - 7-ю амортизационные группы основных средств.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отношении расходов на увеличение первоначальной стоимости таких объектов: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в размере ________ (не более 10%) расходов на достройку, дооборудование, реконструкцию, модернизацию, техническое перевооружение, частичную ликвидацию по стоимости объектов, включаемых в 1-ю и 2-ю, а также 8 - 10-ю амортизационные группы;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- в размере _________ (не более 30%) расходов на достройку, дооборудование, реконструкцию, модернизацию, техническое перевооружение, частичную ликвидацию по стоимости объектов, включаемых в 3 - 7-ю амортизационные группы основных средств.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Амортизационная премия в части первоначальной стоимости объектов ОС и в части расходов на увеличение этой стоимости применяется: _______________ (вариант: к такой стоимости (тем расходам), размер которых составляет более ________ (__________) рублей / независимо от стоимости (расходов) по таким объектам).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3.2.10. Организация применяет повышающие коэффициенты к нормам амортизации, предусмотренные ст. 259.3 Налогового кодекса Российской Федерации в следующем порядке: ___________________________________________________________________________________________.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Организация не применяет повышающие коэффициенты к нормам амортизации ОС, предусмотренные ст. 259.3 Налогового кодекса Российской Федерации.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 учете Организации применяется следующий перечень объектов ОС и соответствующих пониженных норм амортизации (п. 4 ст. 259.3 Налогового кодекса Российской Федерации).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Организация не применяет пониженные нормы амортизации (п. 4 ст. 259.3 Налогового кодекса Российской Федерации).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3.2.11. Срок полезного использования НМА определяется ___________________________________________ (вариант: исходя из срока действия патента, свидетельства, а также исходя из срока полезного использования, обусловленного соответствующим договором, а по НМА, по которым определить срок полезного использования невозможно, применяется срок, равный 10 годам / по объектам НМА, являющимся исключительными правами на ноу-хау, исключительными правами на использование программы для ЭВМ и (или) баз данных, срок полезного использования устанавливается равным трем годам, и по всем иным НМА срок полезного использования определяется исходя из срока действия патента, свидетельства или срока, указанного в договоре, а по НМА, по которым в вышеуказанном порядке срок полезного использования определить невозможно, применяется срок, равный 10 годам).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3.2.12. Исчисление ежемесячных авансовых платежей производится Организацией исходя из фактически полученной прибыли за истекший месяц.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3.2.12. Исчисление ежемесячных авансовых платежей производится исходя из прибыли за предыдущий квартал.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3.3. Создание резервов в налоговом учете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3.3.1 В целях равномерного учета затрат создается резерв предстоящих расходов на выплату ежегодных вознаграждений за выслугу лет и по итогам работы за год. Предельный размер резерва и ежемесячный процент отчислений в резерв определяются на основании расчета, приведенного в Приложении N ___ к Методологии налогового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Вариант. 3.3.1. В целях равномерного учета затрат на выплату ежегодных вознаграждений за выслугу лет и по итогам работы за год создается резерв предстоящих расходов на указанные цели. Предельный размер резерва и ежемесячный процент отчислений в резерв определяются на основании расчета, приведенного в Приложении N ___ к Методологии </w:t>
      </w:r>
      <w:r w:rsidRPr="00730787">
        <w:rPr>
          <w:rFonts w:ascii="Times New Roman" w:hAnsi="Times New Roman" w:cs="Times New Roman"/>
          <w:sz w:val="20"/>
          <w:szCs w:val="20"/>
        </w:rPr>
        <w:lastRenderedPageBreak/>
        <w:t>налогового учета. Для налогового учета операций с резервом используются данные бухгалтерского учета по счету 96 "Резервы предстоящих расходов".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3.3.1. Резерв предстоящих расходов на выплату ежегодных вознаграждений за выслугу лет и по итогам работы за год в Организации не создается.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3.3.2. В целях равномерного учета затрат создается резерв предстоящих расходов на оплату отпусков сотрудников. Предельный размер резерва и ежемесячный процент отчислений в резерв установлены в соответствии с расчетом, приведенным в Приложении N ___ к Методологии налогового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3.3.2. В целях равномерного учета затрат создается резерв предстоящих расходов на оплату отпусков сотрудников. Предельный размер резерва и ежемесячный процент отчислений в резерв установлены в соответствии с расчетом, приведенным в Приложении N ___ к Методологии налогового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 xml:space="preserve">В целях налогового учета операций с резервом используются данные бухгалтерского учета по счету 96 "Резервы предстоящих расходов" </w:t>
      </w:r>
      <w:proofErr w:type="spellStart"/>
      <w:r w:rsidRPr="00730787">
        <w:rPr>
          <w:rFonts w:ascii="Times New Roman" w:hAnsi="Times New Roman" w:cs="Times New Roman"/>
          <w:sz w:val="20"/>
          <w:szCs w:val="20"/>
        </w:rPr>
        <w:t>субсчет</w:t>
      </w:r>
      <w:proofErr w:type="spellEnd"/>
      <w:r w:rsidRPr="00730787">
        <w:rPr>
          <w:rFonts w:ascii="Times New Roman" w:hAnsi="Times New Roman" w:cs="Times New Roman"/>
          <w:sz w:val="20"/>
          <w:szCs w:val="20"/>
        </w:rPr>
        <w:t xml:space="preserve"> "Резерв на оплату отпусков".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3.3.2. Резерв предстоящих расходов на оплату отпусков сотрудников в учете Организации не формируется.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3.3.3. В целях равномерного списания затрат создается резерв предстоящих расходов на ремонт основных средств. Норматив отчислений в резерв на ремонт основных средств определяется делением предельных затрат на проведение ремонта за год на совокупную первоначальную стоимость основных средств на начало года.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Для различных видов капитального ремонта основных средств устанавливается предельный размер затрат на проведение ремонта в соответствии с Приложением N ___ к Методологии налогового учета.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3.3.3. В целях равномерного списания затрат создается резерв предстоящих расходов на ремонт основных средств. Норматив отчислений в резерв на ремонт основных средств устанавливается в размере ___% от совокупной первоначальной стоимости основных средств. Для всех видов ремонта предельные затраты устанавливаются в размере _______ руб.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3.3.3. Резерв предстоящих расходов на ремонт основных средств в Организации не создается.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3.3.4. Отчисления в резерв по сомнительным долгам производятся _____________ (вариант: ежеквартально / ежемесячно / иной период). Максимальный размер резерва по сомнительным долгам составляет 10 (вариант: 5 / иной показатель) процентов от выручки без учета НДС.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3.3.4. Резерв по сомнительным долгам в Организации не создается.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3.3.5. Резерв на гарантийный ремонт и гарантийное обслуживание создается в размере, не превышающем ожидаемых расходов на указанные затраты. Под ожидаемыми расходами понимаются расходы, предусмотренные в плане на выполнение гарантийных обязательств, с учетом срока гарантии (применяется организациями, начинающими осуществлять деятельность). Для налогового учета расходов на резерв по гарантийному ремонту и гарантийному обслуживанию используются данные бухгалтерского учета по счету 96 "Резервы предстоящих расходов".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3.3.5. Резерв на гарантийный ремонт и гарантийное обслуживание создается в размере, определяемом как произведение выручки от реализации за отчетный период и доли фактических расходов по гарантийному ремонту и обслуживанию в объеме выручки от реализации товаров за предыдущие три года.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Вариант. 3.3.5. Резерв на гарантийный ремонт и гарантийное обслуживание не создается.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787">
        <w:rPr>
          <w:rFonts w:ascii="Times New Roman" w:hAnsi="Times New Roman" w:cs="Times New Roman"/>
          <w:b/>
          <w:sz w:val="20"/>
          <w:szCs w:val="20"/>
        </w:rPr>
        <w:t>3.4. Приложение к Методологии налогового учета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3.4.1. Формы регистров налогового учета (Приложение N ____).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3.4.2. Методика ведения раздельного учета для целей исчисления НДС (Приложение N ____).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3.4.3. _____________________________ (и далее по списку в соответствии с выбранным вариантом учета).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  <w:r w:rsidRPr="00730787">
        <w:rPr>
          <w:rFonts w:ascii="Times New Roman" w:hAnsi="Times New Roman" w:cs="Times New Roman"/>
          <w:sz w:val="20"/>
          <w:szCs w:val="20"/>
        </w:rPr>
        <w:t>Главный бухгалтер _______________/_____________ (подпись/Ф.И.О.)</w:t>
      </w: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730787" w:rsidRPr="00730787" w:rsidRDefault="00730787" w:rsidP="00730787">
      <w:pPr>
        <w:rPr>
          <w:rFonts w:ascii="Times New Roman" w:hAnsi="Times New Roman" w:cs="Times New Roman"/>
          <w:sz w:val="20"/>
          <w:szCs w:val="20"/>
        </w:rPr>
      </w:pPr>
    </w:p>
    <w:p w:rsidR="004C174E" w:rsidRPr="00730787" w:rsidRDefault="004C174E" w:rsidP="00730787">
      <w:pPr>
        <w:rPr>
          <w:rFonts w:ascii="Times New Roman" w:hAnsi="Times New Roman" w:cs="Times New Roman"/>
          <w:sz w:val="20"/>
          <w:szCs w:val="20"/>
        </w:rPr>
      </w:pPr>
    </w:p>
    <w:sectPr w:rsidR="004C174E" w:rsidRPr="00730787">
      <w:footerReference w:type="default" r:id="rId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0787">
      <w:r>
        <w:separator/>
      </w:r>
    </w:p>
  </w:endnote>
  <w:endnote w:type="continuationSeparator" w:id="0">
    <w:p w:rsidR="00000000" w:rsidRDefault="0073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4E" w:rsidRDefault="007307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0787">
      <w:r>
        <w:separator/>
      </w:r>
    </w:p>
  </w:footnote>
  <w:footnote w:type="continuationSeparator" w:id="0">
    <w:p w:rsidR="00000000" w:rsidRDefault="0073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4E"/>
    <w:rsid w:val="004C174E"/>
    <w:rsid w:val="0073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30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7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0787"/>
  </w:style>
  <w:style w:type="paragraph" w:styleId="a7">
    <w:name w:val="footer"/>
    <w:basedOn w:val="a"/>
    <w:link w:val="a8"/>
    <w:uiPriority w:val="99"/>
    <w:unhideWhenUsed/>
    <w:rsid w:val="00730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0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30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7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0787"/>
  </w:style>
  <w:style w:type="paragraph" w:styleId="a7">
    <w:name w:val="footer"/>
    <w:basedOn w:val="a"/>
    <w:link w:val="a8"/>
    <w:uiPriority w:val="99"/>
    <w:unhideWhenUsed/>
    <w:rsid w:val="00730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5700</Words>
  <Characters>32494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Учетная политика организации для целей бухгалтерского учета и налогообложения с 2025 г. (общая)
(Подготовлен для системы КонсультантПлюс, 2024)</vt:lpstr>
    </vt:vector>
  </TitlesOfParts>
  <Company>КонсультантПлюс Версия 4024.00.50</Company>
  <LinksUpToDate>false</LinksUpToDate>
  <CharactersWithSpaces>38118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Учетная политика организации для целей бухгалтерского учета и налогообложения с 2025 г. (общая)
(Подготовлен для системы КонсультантПлюс, 2024)</dc:title>
  <dc:creator>Чепенко Александр</dc:creator>
  <cp:lastModifiedBy>Чепенко Александр</cp:lastModifiedBy>
  <cp:revision>2</cp:revision>
  <dcterms:created xsi:type="dcterms:W3CDTF">2024-11-22T10:30:00Z</dcterms:created>
  <dcterms:modified xsi:type="dcterms:W3CDTF">2024-11-22T10:30:00Z</dcterms:modified>
</cp:coreProperties>
</file>